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ПРИГОРОДНЕНСКОГО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12 декабря</w:t>
      </w:r>
      <w:r w:rsidR="000D25D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2022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923F99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96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127683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2023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 на 2023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>ние вступает в силу с 01.01.2023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proofErr w:type="spellStart"/>
      <w:r w:rsidRPr="00923F99">
        <w:rPr>
          <w:rFonts w:ascii="Arial" w:hAnsi="Arial" w:cs="Arial"/>
          <w:bCs/>
        </w:rPr>
        <w:t>Пригородненского</w:t>
      </w:r>
      <w:proofErr w:type="spellEnd"/>
      <w:r w:rsidRPr="00923F99">
        <w:rPr>
          <w:rFonts w:ascii="Arial" w:hAnsi="Arial" w:cs="Arial"/>
          <w:bCs/>
        </w:rPr>
        <w:t xml:space="preserve"> сельсовета                                </w:t>
      </w:r>
      <w:proofErr w:type="spellStart"/>
      <w:r w:rsidRPr="00923F99">
        <w:rPr>
          <w:rFonts w:ascii="Arial" w:hAnsi="Arial" w:cs="Arial"/>
          <w:bCs/>
        </w:rPr>
        <w:t>В.И.Воронин</w:t>
      </w:r>
      <w:proofErr w:type="spellEnd"/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proofErr w:type="spellStart"/>
      <w:r w:rsidRPr="00923F99">
        <w:rPr>
          <w:rFonts w:ascii="Arial" w:hAnsi="Arial" w:cs="Arial"/>
          <w:bCs/>
        </w:rPr>
        <w:t>Пригородненского</w:t>
      </w:r>
      <w:proofErr w:type="spellEnd"/>
      <w:r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39023C" w:rsidRPr="00923F99">
        <w:rPr>
          <w:rFonts w:ascii="Arial" w:hAnsi="Arial" w:cs="Arial"/>
          <w:bCs/>
        </w:rPr>
        <w:t xml:space="preserve"> 12.12.22г.</w:t>
      </w:r>
      <w:r w:rsidRPr="00923F99">
        <w:rPr>
          <w:rFonts w:ascii="Arial" w:hAnsi="Arial" w:cs="Arial"/>
          <w:bCs/>
        </w:rPr>
        <w:t xml:space="preserve">   № </w:t>
      </w:r>
      <w:r w:rsidR="0039023C" w:rsidRPr="00923F99">
        <w:rPr>
          <w:rFonts w:ascii="Arial" w:hAnsi="Arial" w:cs="Arial"/>
          <w:bCs/>
        </w:rPr>
        <w:t>96</w:t>
      </w:r>
      <w:r w:rsidRPr="00923F99">
        <w:rPr>
          <w:rFonts w:ascii="Arial" w:hAnsi="Arial" w:cs="Arial"/>
          <w:bCs/>
        </w:rPr>
        <w:t xml:space="preserve">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127683" w:rsidRPr="00923F99">
        <w:rPr>
          <w:rFonts w:ascii="Arial" w:hAnsi="Arial" w:cs="Arial"/>
          <w:b/>
          <w:sz w:val="32"/>
          <w:szCs w:val="32"/>
        </w:rPr>
        <w:t>3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proofErr w:type="gramStart"/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923F99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923F99">
        <w:rPr>
          <w:rFonts w:ascii="Arial" w:hAnsi="Arial" w:cs="Arial"/>
        </w:rPr>
        <w:t>с</w:t>
      </w:r>
      <w:proofErr w:type="gramEnd"/>
      <w:r w:rsidR="003B126D"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923F99">
        <w:rPr>
          <w:rFonts w:ascii="Arial" w:hAnsi="Arial" w:cs="Arial"/>
          <w:b w:val="0"/>
          <w:sz w:val="24"/>
          <w:szCs w:val="24"/>
          <w:lang w:val="ru-RU"/>
        </w:rPr>
        <w:t>Пригородненского</w:t>
      </w:r>
      <w:proofErr w:type="spellEnd"/>
      <w:r w:rsidRPr="00923F99">
        <w:rPr>
          <w:rFonts w:ascii="Arial" w:hAnsi="Arial" w:cs="Arial"/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923F99">
        <w:rPr>
          <w:rFonts w:ascii="Arial" w:hAnsi="Arial" w:cs="Arial"/>
          <w:sz w:val="24"/>
          <w:szCs w:val="24"/>
          <w:lang w:val="ru-RU"/>
        </w:rPr>
        <w:t>).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Pr="00923F99">
        <w:rPr>
          <w:rFonts w:ascii="Arial" w:hAnsi="Arial" w:cs="Arial"/>
          <w:sz w:val="24"/>
          <w:szCs w:val="24"/>
          <w:lang w:val="ru-RU"/>
        </w:rPr>
        <w:lastRenderedPageBreak/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proofErr w:type="spellStart"/>
      <w:r w:rsidRPr="00923F99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Пригородненского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BE364C" w:rsidRPr="00923F99">
        <w:rPr>
          <w:rFonts w:ascii="Arial" w:hAnsi="Arial" w:cs="Arial"/>
          <w:sz w:val="24"/>
          <w:szCs w:val="24"/>
          <w:lang w:val="ru-RU"/>
        </w:rPr>
        <w:t>Пригородненский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B31054" w:rsidRPr="00923F99">
        <w:rPr>
          <w:rFonts w:ascii="Arial" w:hAnsi="Arial" w:cs="Arial"/>
        </w:rPr>
        <w:t>За текущий период 2022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BE364C" w:rsidRPr="00923F99">
        <w:rPr>
          <w:rFonts w:ascii="Arial" w:hAnsi="Arial" w:cs="Arial"/>
        </w:rPr>
        <w:t>Пригородненского</w:t>
      </w:r>
      <w:proofErr w:type="spellEnd"/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BE364C" w:rsidRPr="00923F99">
        <w:rPr>
          <w:rFonts w:ascii="Arial" w:hAnsi="Arial" w:cs="Arial"/>
        </w:rPr>
        <w:t>Пригородненского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</w:t>
      </w:r>
      <w:r w:rsidR="005314B2" w:rsidRPr="00923F99">
        <w:rPr>
          <w:rFonts w:ascii="Arial" w:hAnsi="Arial" w:cs="Arial"/>
        </w:rPr>
        <w:lastRenderedPageBreak/>
        <w:t xml:space="preserve">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proofErr w:type="spellStart"/>
      <w:r w:rsidR="00BE364C" w:rsidRPr="00923F99">
        <w:rPr>
          <w:rFonts w:ascii="Arial" w:hAnsi="Arial" w:cs="Arial"/>
        </w:rPr>
        <w:t>Пригородненского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B31054" w:rsidRPr="00923F99">
        <w:rPr>
          <w:rFonts w:ascii="Arial" w:hAnsi="Arial" w:cs="Arial"/>
        </w:rPr>
        <w:t>в 2022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proofErr w:type="spellStart"/>
      <w:r w:rsidR="00365A79" w:rsidRPr="00923F99">
        <w:rPr>
          <w:rFonts w:ascii="Arial" w:hAnsi="Arial" w:cs="Arial"/>
        </w:rPr>
        <w:t>Пригородненского</w:t>
      </w:r>
      <w:proofErr w:type="spellEnd"/>
      <w:r w:rsidR="00365A79" w:rsidRPr="00923F99">
        <w:rPr>
          <w:rFonts w:ascii="Arial" w:hAnsi="Arial" w:cs="Arial"/>
        </w:rPr>
        <w:t xml:space="preserve"> сельсовета;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Пригородненского</w:t>
            </w:r>
            <w:proofErr w:type="spellEnd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их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 xml:space="preserve">1) контролируемых лиц, приступающих к осуществлению </w:t>
            </w: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к ООО «Руслан»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Март 2023г.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ИП </w:t>
            </w:r>
            <w:r w:rsidR="00DA2F99" w:rsidRPr="00923F9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="003F5D4D" w:rsidRPr="00923F99">
              <w:rPr>
                <w:rFonts w:ascii="Arial" w:hAnsi="Arial" w:cs="Arial"/>
                <w:sz w:val="24"/>
                <w:szCs w:val="24"/>
                <w:lang w:val="ru-RU"/>
              </w:rPr>
              <w:t>Пересыпкин</w:t>
            </w:r>
            <w:proofErr w:type="spellEnd"/>
            <w:r w:rsidR="003F5D4D" w:rsidRPr="00923F99">
              <w:rPr>
                <w:rFonts w:ascii="Arial" w:hAnsi="Arial" w:cs="Arial"/>
                <w:sz w:val="24"/>
                <w:szCs w:val="24"/>
                <w:lang w:val="ru-RU"/>
              </w:rPr>
              <w:t xml:space="preserve"> Н.Н.»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3F5D4D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Июнь 2023г.</w:t>
            </w:r>
          </w:p>
        </w:tc>
      </w:tr>
      <w:tr w:rsidR="003F5D4D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86128C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6128C" w:rsidRPr="00923F99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6128C" w:rsidRPr="00923F99">
              <w:rPr>
                <w:rFonts w:ascii="Arial" w:hAnsi="Arial" w:cs="Arial"/>
                <w:sz w:val="24"/>
                <w:szCs w:val="24"/>
                <w:lang w:val="ru-RU"/>
              </w:rPr>
              <w:t>Щигровское</w:t>
            </w:r>
            <w:proofErr w:type="spellEnd"/>
            <w:r w:rsidR="0086128C" w:rsidRPr="00923F99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3F13FD" w:rsidRPr="00923F99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13FD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Сентябрь 2023г.</w:t>
            </w:r>
          </w:p>
        </w:tc>
      </w:tr>
      <w:tr w:rsidR="008B1DA3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2023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контакты</w:t>
            </w:r>
            <w:proofErr w:type="spellEnd"/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Воронин Виталий </w:t>
            </w:r>
            <w:r w:rsidRPr="00923F99">
              <w:rPr>
                <w:rFonts w:ascii="Arial" w:hAnsi="Arial" w:cs="Arial"/>
                <w:lang w:val="ru-RU" w:bidi="en-US"/>
              </w:rPr>
              <w:lastRenderedPageBreak/>
              <w:t>Иванович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lastRenderedPageBreak/>
              <w:t xml:space="preserve">Глава </w:t>
            </w:r>
            <w:proofErr w:type="spellStart"/>
            <w:r w:rsidRPr="00923F99">
              <w:rPr>
                <w:rFonts w:ascii="Arial" w:hAnsi="Arial" w:cs="Arial"/>
                <w:lang w:val="ru-RU" w:bidi="en-US"/>
              </w:rPr>
              <w:lastRenderedPageBreak/>
              <w:t>Пригородненского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lastRenderedPageBreak/>
              <w:t xml:space="preserve">Организация и </w:t>
            </w:r>
            <w:r w:rsidRPr="00923F99">
              <w:rPr>
                <w:rFonts w:ascii="Arial" w:hAnsi="Arial" w:cs="Arial"/>
                <w:lang w:val="ru-RU" w:bidi="en-US"/>
              </w:rPr>
              <w:lastRenderedPageBreak/>
              <w:t>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lastRenderedPageBreak/>
              <w:t>89102148472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 w:rsidRPr="00923F99">
              <w:rPr>
                <w:rFonts w:ascii="Arial" w:hAnsi="Arial" w:cs="Arial"/>
                <w:lang w:val="ru-RU" w:bidi="en-US"/>
              </w:rPr>
              <w:t>Аболмасова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Л.Н.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 w:rsidRPr="00923F99">
              <w:rPr>
                <w:rFonts w:ascii="Arial" w:hAnsi="Arial" w:cs="Arial"/>
                <w:lang w:val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lang w:val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lang w:val="ru-RU" w:bidi="en-US"/>
              </w:rPr>
              <w:t>лавы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Администрации </w:t>
            </w:r>
            <w:proofErr w:type="spellStart"/>
            <w:r w:rsidRPr="00923F99">
              <w:rPr>
                <w:rFonts w:ascii="Arial" w:hAnsi="Arial" w:cs="Arial"/>
                <w:lang w:val="ru-RU" w:bidi="en-US"/>
              </w:rPr>
              <w:t>Пригородненского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89192111245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Исполнение показателя на 2023 год, %</w:t>
            </w:r>
          </w:p>
        </w:tc>
        <w:bookmarkStart w:id="0" w:name="_GoBack"/>
        <w:bookmarkEnd w:id="0"/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0C" w:rsidRPr="002069D3" w:rsidRDefault="003A530C" w:rsidP="002069D3">
      <w:r>
        <w:separator/>
      </w:r>
    </w:p>
  </w:endnote>
  <w:endnote w:type="continuationSeparator" w:id="0">
    <w:p w:rsidR="003A530C" w:rsidRPr="002069D3" w:rsidRDefault="003A530C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0C" w:rsidRPr="002069D3" w:rsidRDefault="003A530C" w:rsidP="002069D3">
      <w:r>
        <w:separator/>
      </w:r>
    </w:p>
  </w:footnote>
  <w:footnote w:type="continuationSeparator" w:id="0">
    <w:p w:rsidR="003A530C" w:rsidRPr="002069D3" w:rsidRDefault="003A530C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E73BA"/>
    <w:rsid w:val="0020332B"/>
    <w:rsid w:val="002069D3"/>
    <w:rsid w:val="00224FBC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4079"/>
    <w:rsid w:val="00686987"/>
    <w:rsid w:val="00693194"/>
    <w:rsid w:val="006943F0"/>
    <w:rsid w:val="006A3B51"/>
    <w:rsid w:val="006C40F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B467C"/>
    <w:rsid w:val="00AC4216"/>
    <w:rsid w:val="00AF0349"/>
    <w:rsid w:val="00AF602C"/>
    <w:rsid w:val="00B01E29"/>
    <w:rsid w:val="00B31054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D2671"/>
    <w:rsid w:val="00DF06C7"/>
    <w:rsid w:val="00DF436A"/>
    <w:rsid w:val="00E13033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12</cp:revision>
  <cp:lastPrinted>2021-11-15T06:56:00Z</cp:lastPrinted>
  <dcterms:created xsi:type="dcterms:W3CDTF">2021-11-09T13:50:00Z</dcterms:created>
  <dcterms:modified xsi:type="dcterms:W3CDTF">2022-12-22T16:52:00Z</dcterms:modified>
</cp:coreProperties>
</file>